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Arial" w:cs="Arial" w:eastAsia="Arial" w:hAnsi="Arial"/>
          <w:b w:val="1"/>
          <w:u w:val="singl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8" w:top="1138" w:left="850" w:right="1138" w:header="1701" w:footer="706"/>
          <w:pgNumType w:start="1"/>
          <w:cols w:equalWidth="0" w:num="2">
            <w:col w:space="708" w:w="4772"/>
            <w:col w:space="0" w:w="4772"/>
          </w:cols>
          <w:titlePg w:val="1"/>
        </w:sect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CAMDEN FILM OFFICE</w:t>
      </w:r>
    </w:p>
    <w:p w:rsidR="00000000" w:rsidDel="00000000" w:rsidP="00000000" w:rsidRDefault="00000000" w:rsidRPr="00000000" w14:paraId="0000000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Film Parking Suspension Application Form</w:t>
      </w:r>
    </w:p>
    <w:p w:rsidR="00000000" w:rsidDel="00000000" w:rsidP="00000000" w:rsidRDefault="00000000" w:rsidRPr="00000000" w14:paraId="00000004">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ageBreakBefore w:val="0"/>
        <w:widowControl w:val="1"/>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and return to </w:t>
      </w:r>
      <w:hyperlink r:id="rId13">
        <w:r w:rsidDel="00000000" w:rsidR="00000000" w:rsidRPr="00000000">
          <w:rPr>
            <w:rFonts w:ascii="Arial" w:cs="Arial" w:eastAsia="Arial" w:hAnsi="Arial"/>
            <w:color w:val="0563c1"/>
            <w:sz w:val="22"/>
            <w:szCs w:val="22"/>
            <w:u w:val="single"/>
            <w:rtl w:val="0"/>
          </w:rPr>
          <w:t xml:space="preserve">info@camdenfilmoffice.co.uk</w:t>
        </w:r>
      </w:hyperlink>
      <w:r w:rsidDel="00000000" w:rsidR="00000000" w:rsidRPr="00000000">
        <w:rPr>
          <w:rtl w:val="0"/>
        </w:rPr>
      </w:r>
    </w:p>
    <w:p w:rsidR="00000000" w:rsidDel="00000000" w:rsidP="00000000" w:rsidRDefault="00000000" w:rsidRPr="00000000" w14:paraId="00000006">
      <w:pPr>
        <w:pageBreakBefore w:val="0"/>
        <w:widowControl w:val="1"/>
        <w:numPr>
          <w:ilvl w:val="0"/>
          <w:numId w:val="1"/>
        </w:numPr>
        <w:ind w:left="720" w:hanging="36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15 working days’</w:t>
      </w:r>
      <w:r w:rsidDel="00000000" w:rsidR="00000000" w:rsidRPr="00000000">
        <w:rPr>
          <w:rFonts w:ascii="Arial" w:cs="Arial" w:eastAsia="Arial" w:hAnsi="Arial"/>
          <w:sz w:val="22"/>
          <w:szCs w:val="22"/>
          <w:rtl w:val="0"/>
        </w:rPr>
        <w:t xml:space="preserve"> notice is required for residents’ bays</w:t>
      </w:r>
    </w:p>
    <w:p w:rsidR="00000000" w:rsidDel="00000000" w:rsidP="00000000" w:rsidRDefault="00000000" w:rsidRPr="00000000" w14:paraId="00000007">
      <w:pPr>
        <w:pageBreakBefore w:val="0"/>
        <w:widowControl w:val="1"/>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5 working days’</w:t>
      </w:r>
      <w:r w:rsidDel="00000000" w:rsidR="00000000" w:rsidRPr="00000000">
        <w:rPr>
          <w:rFonts w:ascii="Arial" w:cs="Arial" w:eastAsia="Arial" w:hAnsi="Arial"/>
          <w:sz w:val="22"/>
          <w:szCs w:val="22"/>
          <w:rtl w:val="0"/>
        </w:rPr>
        <w:t xml:space="preserve"> notice is required for P&amp;D bays</w:t>
      </w:r>
    </w:p>
    <w:p w:rsidR="00000000" w:rsidDel="00000000" w:rsidP="00000000" w:rsidRDefault="00000000" w:rsidRPr="00000000" w14:paraId="00000008">
      <w:pPr>
        <w:pageBreakBefore w:val="0"/>
        <w:widowControl w:val="1"/>
        <w:numPr>
          <w:ilvl w:val="0"/>
          <w:numId w:val="1"/>
        </w:numPr>
        <w:ind w:left="72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9">
      <w:pPr>
        <w:pageBreakBefore w:val="0"/>
        <w:widowControl w:val="1"/>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Suspensions are per calendar day not per 24 hours (i.e. if you suspend from 5pm until 5pm the next day, you will be charged for 2 days)</w:t>
      </w:r>
    </w:p>
    <w:p w:rsidR="00000000" w:rsidDel="00000000" w:rsidP="00000000" w:rsidRDefault="00000000" w:rsidRPr="00000000" w14:paraId="0000000A">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4064000</wp:posOffset>
                </wp:positionH>
                <wp:positionV relativeFrom="paragraph">
                  <wp:posOffset>12701</wp:posOffset>
                </wp:positionV>
                <wp:extent cx="2217420" cy="561975"/>
                <wp:effectExtent b="0" l="0" r="0" t="0"/>
                <wp:wrapSquare wrapText="bothSides" distB="114300" distT="114300" distL="114300" distR="114300"/>
                <wp:docPr id="19" name=""/>
                <a:graphic>
                  <a:graphicData uri="http://schemas.microsoft.com/office/word/2010/wordprocessingShape">
                    <wps:wsp>
                      <wps:cNvSpPr/>
                      <wps:cNvPr id="2" name="Shape 2"/>
                      <wps:spPr>
                        <a:xfrm>
                          <a:off x="4246815" y="3508538"/>
                          <a:ext cx="2198370" cy="5429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(To be completed by Film Officer)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Arial" w:cs="Arial" w:eastAsia="Arial" w:hAnsi="Arial"/>
                                <w:b w:val="0"/>
                                <w:i w:val="0"/>
                                <w:smallCaps w:val="0"/>
                                <w:strike w:val="0"/>
                                <w:color w:val="878a8f"/>
                                <w:sz w:val="24"/>
                                <w:vertAlign w:val="baseline"/>
                              </w:rPr>
                              <w:t xml:space="preserve">CMDFIL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4064000</wp:posOffset>
                </wp:positionH>
                <wp:positionV relativeFrom="paragraph">
                  <wp:posOffset>12701</wp:posOffset>
                </wp:positionV>
                <wp:extent cx="2217420" cy="561975"/>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217420" cy="561975"/>
                        </a:xfrm>
                        <a:prstGeom prst="rect"/>
                        <a:ln/>
                      </pic:spPr>
                    </pic:pic>
                  </a:graphicData>
                </a:graphic>
              </wp:anchor>
            </w:drawing>
          </mc:Fallback>
        </mc:AlternateContent>
      </w:r>
    </w:p>
    <w:p w:rsidR="00000000" w:rsidDel="00000000" w:rsidP="00000000" w:rsidRDefault="00000000" w:rsidRPr="00000000" w14:paraId="0000000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 – Your Details</w:t>
      </w:r>
    </w:p>
    <w:p w:rsidR="00000000" w:rsidDel="00000000" w:rsidP="00000000" w:rsidRDefault="00000000" w:rsidRPr="00000000" w14:paraId="0000000F">
      <w:pPr>
        <w:pageBreakBefore w:val="0"/>
        <w:rPr>
          <w:rFonts w:ascii="Arial" w:cs="Arial" w:eastAsia="Arial" w:hAnsi="Arial"/>
          <w:i w:val="1"/>
          <w:sz w:val="20"/>
          <w:szCs w:val="20"/>
          <w:u w:val="single"/>
        </w:rPr>
      </w:pPr>
      <w:r w:rsidDel="00000000" w:rsidR="00000000" w:rsidRPr="00000000">
        <w:rPr>
          <w:rtl w:val="0"/>
        </w:rPr>
      </w:r>
    </w:p>
    <w:tbl>
      <w:tblPr>
        <w:tblStyle w:val="Table1"/>
        <w:tblW w:w="9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0"/>
        <w:gridCol w:w="5405"/>
        <w:tblGridChange w:id="0">
          <w:tblGrid>
            <w:gridCol w:w="4480"/>
            <w:gridCol w:w="5405"/>
          </w:tblGrid>
        </w:tblGridChange>
      </w:tblGrid>
      <w:tr>
        <w:trPr>
          <w:cantSplit w:val="0"/>
          <w:trHeight w:val="33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applicant</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 company</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5">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7">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 – Russell Square – Unit Base</w:t>
      </w:r>
    </w:p>
    <w:p w:rsidR="00000000" w:rsidDel="00000000" w:rsidP="00000000" w:rsidRDefault="00000000" w:rsidRPr="00000000" w14:paraId="0000001D">
      <w:pPr>
        <w:pageBreakBefore w:val="0"/>
        <w:rPr>
          <w:rFonts w:ascii="Arial" w:cs="Arial" w:eastAsia="Arial" w:hAnsi="Arial"/>
          <w:b w:val="1"/>
          <w:i w:val="1"/>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i w:val="1"/>
        </w:rPr>
      </w:pPr>
      <w:r w:rsidDel="00000000" w:rsidR="00000000" w:rsidRPr="00000000">
        <w:rPr>
          <w:rtl w:val="0"/>
        </w:rPr>
      </w:r>
    </w:p>
    <w:tbl>
      <w:tblPr>
        <w:tblStyle w:val="Table2"/>
        <w:tblW w:w="9894.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7"/>
        <w:gridCol w:w="1337"/>
        <w:tblGridChange w:id="0">
          <w:tblGrid>
            <w:gridCol w:w="8557"/>
            <w:gridCol w:w="1337"/>
          </w:tblGrid>
        </w:tblGridChange>
      </w:tblGrid>
      <w:tr>
        <w:trPr>
          <w:cantSplit w:val="0"/>
          <w:trHeight w:val="659" w:hRule="atLeast"/>
          <w:tblHeader w:val="0"/>
        </w:trPr>
        <w:tc>
          <w:tcPr>
            <w:shd w:fill="ffffff" w:val="clear"/>
            <w:vAlign w:val="cente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Russell Square – 10 P&amp;D Bays (13856)</w:t>
            </w:r>
          </w:p>
        </w:tc>
        <w:tc>
          <w:tcPr>
            <w:shd w:fill="ffffff" w:val="clear"/>
            <w:vAlign w:val="cente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Russell Square – 18 P&amp;D Bays (13855)</w:t>
            </w:r>
          </w:p>
        </w:tc>
        <w:tc>
          <w:tcPr>
            <w:shd w:fill="ffffff" w:val="clea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679" w:hRule="atLeast"/>
          <w:tblHeader w:val="0"/>
        </w:trPr>
        <w:tc>
          <w:tcPr>
            <w:shd w:fill="ffffff" w:val="clear"/>
            <w:vAlign w:val="cente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Russell Square – 2 Motorcycle Bays</w:t>
            </w:r>
          </w:p>
        </w:tc>
        <w:tc>
          <w:tcPr>
            <w:shd w:fill="ffffff" w:val="clear"/>
            <w:vAlign w:val="cente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Start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rHeight w:val="724" w:hRule="atLeast"/>
          <w:tblHeader w:val="0"/>
        </w:trPr>
        <w:tc>
          <w:tcPr>
            <w:shd w:fill="ffffff" w:val="clear"/>
            <w:vAlign w:val="cente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28">
            <w:pPr>
              <w:rPr>
                <w:rFonts w:ascii="Arial" w:cs="Arial" w:eastAsia="Arial" w:hAnsi="Arial"/>
              </w:rPr>
            </w:pPr>
            <w:r w:rsidDel="00000000" w:rsidR="00000000" w:rsidRPr="00000000">
              <w:rPr>
                <w:rtl w:val="0"/>
              </w:rPr>
            </w:r>
          </w:p>
        </w:tc>
      </w:tr>
    </w:tbl>
    <w:p w:rsidR="00000000" w:rsidDel="00000000" w:rsidP="00000000" w:rsidRDefault="00000000" w:rsidRPr="00000000" w14:paraId="00000029">
      <w:pPr>
        <w:pageBreakBefore w:val="0"/>
        <w:rPr>
          <w:sz w:val="20"/>
          <w:szCs w:val="20"/>
        </w:rPr>
      </w:pPr>
      <w:r w:rsidDel="00000000" w:rsidR="00000000" w:rsidRPr="00000000">
        <w:rPr>
          <w:rtl w:val="0"/>
        </w:rPr>
      </w:r>
    </w:p>
    <w:tbl>
      <w:tblPr>
        <w:tblStyle w:val="Table3"/>
        <w:tblW w:w="9894.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7"/>
        <w:gridCol w:w="1337"/>
        <w:tblGridChange w:id="0">
          <w:tblGrid>
            <w:gridCol w:w="8557"/>
            <w:gridCol w:w="1337"/>
          </w:tblGrid>
        </w:tblGridChange>
      </w:tblGrid>
      <w:tr>
        <w:trPr>
          <w:cantSplit w:val="0"/>
          <w:trHeight w:val="659" w:hRule="atLeast"/>
          <w:tblHeader w:val="0"/>
        </w:trPr>
        <w:tc>
          <w:tcPr>
            <w:shd w:fill="ffffff" w:val="clear"/>
            <w:vAlign w:val="center"/>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Malet Street – 11 P&amp;D Bays (13849)</w:t>
            </w:r>
          </w:p>
        </w:tc>
        <w:tc>
          <w:tcPr>
            <w:shd w:fill="ffffff"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Malet Street – 2 Motorcycle Bays</w:t>
            </w:r>
          </w:p>
        </w:tc>
        <w:tc>
          <w:tcPr>
            <w:shd w:fill="ffffff" w:val="clea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679" w:hRule="atLeast"/>
          <w:tblHeader w:val="0"/>
        </w:trPr>
        <w:tc>
          <w:tcPr>
            <w:shd w:fill="ffffff" w:val="clear"/>
            <w:vAlign w:val="cente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Malet Street – 4 Coach Bays (13850)</w:t>
            </w:r>
          </w:p>
        </w:tc>
        <w:tc>
          <w:tcPr>
            <w:shd w:fill="ffffff" w:val="clea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Start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31">
            <w:pPr>
              <w:rPr>
                <w:rFonts w:ascii="Arial" w:cs="Arial" w:eastAsia="Arial" w:hAnsi="Arial"/>
              </w:rPr>
            </w:pPr>
            <w:r w:rsidDel="00000000" w:rsidR="00000000" w:rsidRPr="00000000">
              <w:rPr>
                <w:rtl w:val="0"/>
              </w:rPr>
            </w:r>
          </w:p>
        </w:tc>
      </w:tr>
      <w:tr>
        <w:trPr>
          <w:cantSplit w:val="0"/>
          <w:trHeight w:val="724" w:hRule="atLeast"/>
          <w:tblHeader w:val="0"/>
        </w:trPr>
        <w:tc>
          <w:tcPr>
            <w:shd w:fill="ffffff" w:val="clear"/>
            <w:vAlign w:val="cente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33">
            <w:pPr>
              <w:rPr>
                <w:rFonts w:ascii="Arial" w:cs="Arial" w:eastAsia="Arial" w:hAnsi="Arial"/>
              </w:rPr>
            </w:pPr>
            <w:r w:rsidDel="00000000" w:rsidR="00000000" w:rsidRPr="00000000">
              <w:rPr>
                <w:rtl w:val="0"/>
              </w:rPr>
            </w:r>
          </w:p>
        </w:tc>
      </w:tr>
    </w:tbl>
    <w:p w:rsidR="00000000" w:rsidDel="00000000" w:rsidP="00000000" w:rsidRDefault="00000000" w:rsidRPr="00000000" w14:paraId="00000034">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5">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complete a separate section 2 table for each run of bays. This can be achieved by copy and pasting the table.</w:t>
      </w:r>
    </w:p>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3 – Cost Calculation</w:t>
      </w:r>
    </w:p>
    <w:p w:rsidR="00000000" w:rsidDel="00000000" w:rsidP="00000000" w:rsidRDefault="00000000" w:rsidRPr="00000000" w14:paraId="00000039">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your suspension is for longer than 5 consecutive days, please contact Camden Film Office for a definitive quote.</w:t>
      </w:r>
    </w:p>
    <w:p w:rsidR="00000000" w:rsidDel="00000000" w:rsidP="00000000" w:rsidRDefault="00000000" w:rsidRPr="00000000" w14:paraId="0000003A">
      <w:pPr>
        <w:rPr>
          <w:rFonts w:ascii="Arial" w:cs="Arial" w:eastAsia="Arial" w:hAnsi="Arial"/>
          <w:i w:val="1"/>
          <w:sz w:val="22"/>
          <w:szCs w:val="22"/>
        </w:rPr>
      </w:pPr>
      <w:r w:rsidDel="00000000" w:rsidR="00000000" w:rsidRPr="00000000">
        <w:rPr>
          <w:rtl w:val="0"/>
        </w:rPr>
      </w:r>
    </w:p>
    <w:tbl>
      <w:tblPr>
        <w:tblStyle w:val="Table4"/>
        <w:tblW w:w="9974.999999999998"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3"/>
        <w:gridCol w:w="1701"/>
        <w:gridCol w:w="2552"/>
        <w:gridCol w:w="1134"/>
        <w:gridCol w:w="2835"/>
        <w:tblGridChange w:id="0">
          <w:tblGrid>
            <w:gridCol w:w="1753"/>
            <w:gridCol w:w="1701"/>
            <w:gridCol w:w="2552"/>
            <w:gridCol w:w="1134"/>
            <w:gridCol w:w="2835"/>
          </w:tblGrid>
        </w:tblGridChange>
      </w:tblGrid>
      <w:tr>
        <w:trPr>
          <w:cantSplit w:val="0"/>
          <w:trHeight w:val="740" w:hRule="atLeast"/>
          <w:tblHeader w:val="0"/>
        </w:trPr>
        <w:tc>
          <w:tcPr>
            <w:shd w:fill="ffffff" w:val="clear"/>
            <w:vAlign w:val="center"/>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Suspension type (resident, P&amp;D etc.)</w:t>
            </w:r>
          </w:p>
        </w:tc>
        <w:tc>
          <w:tcPr>
            <w:shd w:fill="ffffff" w:val="clear"/>
            <w:vAlign w:val="center"/>
          </w:tcPr>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No. of first day spaces @ £83.55 per bay</w:t>
            </w:r>
          </w:p>
        </w:tc>
        <w:tc>
          <w:tcPr>
            <w:shd w:fill="ffffff" w:val="clear"/>
            <w:vAlign w:val="center"/>
          </w:tcPr>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No. of subsequent day spaces from @ £89.91 per bay per day</w:t>
            </w:r>
          </w:p>
        </w:tc>
        <w:tc>
          <w:tcPr>
            <w:shd w:fill="ffffff" w:val="clear"/>
            <w:vAlign w:val="center"/>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Bagging fee</w:t>
            </w:r>
          </w:p>
        </w:tc>
        <w:tc>
          <w:tcPr>
            <w:shd w:fill="ffffff" w:val="clear"/>
            <w:vAlign w:val="center"/>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r>
      <w:tr>
        <w:trPr>
          <w:cantSplit w:val="0"/>
          <w:trHeight w:val="471" w:hRule="atLeast"/>
          <w:tblHeader w:val="0"/>
        </w:trPr>
        <w:tc>
          <w:tcPr>
            <w:shd w:fill="ffffff"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5">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6">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£53.19</w:t>
            </w:r>
            <w:r w:rsidDel="00000000" w:rsidR="00000000" w:rsidRPr="00000000">
              <w:rPr>
                <w:rtl w:val="0"/>
              </w:rPr>
            </w:r>
          </w:p>
        </w:tc>
        <w:tc>
          <w:tcPr>
            <w:shd w:fill="ffffff" w:val="clear"/>
            <w:vAlign w:val="center"/>
          </w:tcPr>
          <w:p w:rsidR="00000000" w:rsidDel="00000000" w:rsidP="00000000" w:rsidRDefault="00000000" w:rsidRPr="00000000" w14:paraId="00000048">
            <w:pPr>
              <w:rPr>
                <w:rFonts w:ascii="Arial" w:cs="Arial" w:eastAsia="Arial" w:hAnsi="Arial"/>
                <w:i w:val="1"/>
                <w:sz w:val="22"/>
                <w:szCs w:val="22"/>
              </w:rPr>
            </w:pPr>
            <w:r w:rsidDel="00000000" w:rsidR="00000000" w:rsidRPr="00000000">
              <w:rPr>
                <w:rtl w:val="0"/>
              </w:rPr>
            </w:r>
          </w:p>
        </w:tc>
      </w:tr>
      <w:tr>
        <w:trPr>
          <w:cantSplit w:val="0"/>
          <w:trHeight w:val="421" w:hRule="atLeast"/>
          <w:tblHeader w:val="0"/>
        </w:trPr>
        <w:tc>
          <w:tcPr>
            <w:shd w:fill="ffffff" w:val="clear"/>
            <w:vAlign w:val="center"/>
          </w:tcPr>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B">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£53.19</w:t>
            </w:r>
            <w:r w:rsidDel="00000000" w:rsidR="00000000" w:rsidRPr="00000000">
              <w:rPr>
                <w:rtl w:val="0"/>
              </w:rPr>
            </w:r>
          </w:p>
        </w:tc>
        <w:tc>
          <w:tcPr>
            <w:shd w:fill="ffffff"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0">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£53.19</w:t>
            </w:r>
            <w:r w:rsidDel="00000000" w:rsidR="00000000" w:rsidRPr="00000000">
              <w:rPr>
                <w:rtl w:val="0"/>
              </w:rPr>
            </w:r>
          </w:p>
        </w:tc>
        <w:tc>
          <w:tcPr>
            <w:shd w:fill="ffffff" w:val="clear"/>
            <w:vAlign w:val="center"/>
          </w:tcPr>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r>
      <w:tr>
        <w:trPr>
          <w:cantSplit w:val="0"/>
          <w:trHeight w:val="419" w:hRule="atLeast"/>
          <w:tblHeader w:val="0"/>
        </w:trPr>
        <w:tc>
          <w:tcPr>
            <w:shd w:fill="ffffff"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5">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£53.19</w:t>
            </w:r>
            <w:r w:rsidDel="00000000" w:rsidR="00000000" w:rsidRPr="00000000">
              <w:rPr>
                <w:rtl w:val="0"/>
              </w:rPr>
            </w:r>
          </w:p>
        </w:tc>
        <w:tc>
          <w:tcPr>
            <w:shd w:fill="ffffff" w:val="clear"/>
            <w:vAlign w:val="center"/>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8">
      <w:pPr>
        <w:rPr>
          <w:rFonts w:ascii="Arial" w:cs="Arial" w:eastAsia="Arial" w:hAnsi="Arial"/>
          <w:i w:val="1"/>
          <w:sz w:val="22"/>
          <w:szCs w:val="22"/>
        </w:rPr>
      </w:pPr>
      <w:r w:rsidDel="00000000" w:rsidR="00000000" w:rsidRPr="00000000">
        <w:rPr>
          <w:rtl w:val="0"/>
        </w:rPr>
      </w:r>
    </w:p>
    <w:tbl>
      <w:tblPr>
        <w:tblStyle w:val="Table5"/>
        <w:tblW w:w="2772.3675253708043"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7.0527712724436"/>
        <w:gridCol w:w="1365.3147540983607"/>
        <w:tblGridChange w:id="0">
          <w:tblGrid>
            <w:gridCol w:w="1407.0527712724436"/>
            <w:gridCol w:w="1365.3147540983607"/>
          </w:tblGrid>
        </w:tblGridChange>
      </w:tblGrid>
      <w:tr>
        <w:trPr>
          <w:cantSplit w:val="0"/>
          <w:trHeight w:val="740" w:hRule="atLeast"/>
          <w:tblHeader w:val="0"/>
        </w:trPr>
        <w:tc>
          <w:tcPr>
            <w:shd w:fill="ffffff"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Duration</w:t>
            </w:r>
          </w:p>
        </w:tc>
        <w:tc>
          <w:tcPr>
            <w:shd w:fill="ffffff" w:val="clea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Per bay per day</w:t>
            </w:r>
          </w:p>
        </w:tc>
      </w:tr>
      <w:tr>
        <w:trPr>
          <w:cantSplit w:val="0"/>
          <w:trHeight w:val="471" w:hRule="atLeast"/>
          <w:tblHeader w:val="0"/>
        </w:trPr>
        <w:tc>
          <w:tcPr>
            <w:shd w:fill="ffffff" w:val="clea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1 day</w:t>
            </w:r>
          </w:p>
        </w:tc>
        <w:tc>
          <w:tcPr>
            <w:shd w:fill="ffffff"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£83.55</w:t>
            </w:r>
          </w:p>
        </w:tc>
      </w:tr>
      <w:tr>
        <w:trPr>
          <w:cantSplit w:val="0"/>
          <w:trHeight w:val="421" w:hRule="atLeast"/>
          <w:tblHeader w:val="0"/>
        </w:trPr>
        <w:tc>
          <w:tcPr>
            <w:shd w:fill="ffffff" w:val="clear"/>
            <w:vAlign w:val="cente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2-5 days</w:t>
            </w:r>
          </w:p>
        </w:tc>
        <w:tc>
          <w:tcPr>
            <w:shd w:fill="ffffff" w:val="clear"/>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£89.91</w:t>
            </w:r>
          </w:p>
        </w:tc>
      </w:tr>
      <w:tr>
        <w:trPr>
          <w:cantSplit w:val="0"/>
          <w:trHeight w:val="413" w:hRule="atLeast"/>
          <w:tblHeader w:val="0"/>
        </w:trPr>
        <w:tc>
          <w:tcPr>
            <w:shd w:fill="ffffff"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6-10 days</w:t>
            </w:r>
          </w:p>
        </w:tc>
        <w:tc>
          <w:tcPr>
            <w:shd w:fill="ffffff" w:val="clear"/>
            <w:vAlign w:val="cente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£96.26</w:t>
            </w:r>
          </w:p>
        </w:tc>
      </w:tr>
      <w:tr>
        <w:trPr>
          <w:cantSplit w:val="0"/>
          <w:trHeight w:val="419" w:hRule="atLeast"/>
          <w:tblHeader w:val="0"/>
        </w:trPr>
        <w:tc>
          <w:tcPr>
            <w:shd w:fill="ffffff" w:val="clear"/>
            <w:vAlign w:val="cente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11-14 days</w:t>
            </w:r>
          </w:p>
        </w:tc>
        <w:tc>
          <w:tcPr>
            <w:shd w:fill="ffffff" w:val="clear"/>
            <w:vAlign w:val="cente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102.62</w:t>
            </w:r>
          </w:p>
        </w:tc>
      </w:tr>
      <w:tr>
        <w:trPr>
          <w:cantSplit w:val="0"/>
          <w:trHeight w:val="419" w:hRule="atLeast"/>
          <w:tblHeader w:val="0"/>
        </w:trPr>
        <w:tc>
          <w:tcPr>
            <w:shd w:fill="ffffff" w:val="clear"/>
            <w:vAlign w:val="cente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15-42 days</w:t>
            </w:r>
          </w:p>
        </w:tc>
        <w:tc>
          <w:tcPr>
            <w:shd w:fill="ffffff" w:val="clear"/>
            <w:vAlign w:val="cente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105.34</w:t>
            </w:r>
          </w:p>
        </w:tc>
      </w:tr>
    </w:tbl>
    <w:p w:rsidR="00000000" w:rsidDel="00000000" w:rsidP="00000000" w:rsidRDefault="00000000" w:rsidRPr="00000000" w14:paraId="00000065">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4 – Declaration</w:t>
      </w:r>
    </w:p>
    <w:p w:rsidR="00000000" w:rsidDel="00000000" w:rsidP="00000000" w:rsidRDefault="00000000" w:rsidRPr="00000000" w14:paraId="0000006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rsidR="00000000" w:rsidDel="00000000" w:rsidP="00000000" w:rsidRDefault="00000000" w:rsidRPr="00000000" w14:paraId="00000069">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Essential Information and Guidance Notes</w:t>
      </w:r>
    </w:p>
    <w:p w:rsidR="00000000" w:rsidDel="00000000" w:rsidP="00000000" w:rsidRDefault="00000000" w:rsidRPr="00000000" w14:paraId="0000006C">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6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 </w:t>
      </w:r>
    </w:p>
    <w:p w:rsidR="00000000" w:rsidDel="00000000" w:rsidP="00000000" w:rsidRDefault="00000000" w:rsidRPr="00000000" w14:paraId="0000006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7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7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7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rsidR="00000000" w:rsidDel="00000000" w:rsidP="00000000" w:rsidRDefault="00000000" w:rsidRPr="00000000" w14:paraId="0000007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7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minimum notice period required to suspend a parking bay varies depending on the type of bay:</w:t>
      </w:r>
    </w:p>
    <w:p w:rsidR="00000000" w:rsidDel="00000000" w:rsidP="00000000" w:rsidRDefault="00000000" w:rsidRPr="00000000" w14:paraId="0000007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Residents’ and shared use bays – 15 days’ notice</w:t>
      </w:r>
    </w:p>
    <w:p w:rsidR="00000000" w:rsidDel="00000000" w:rsidP="00000000" w:rsidRDefault="00000000" w:rsidRPr="00000000" w14:paraId="0000007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Doctors/disabled/market trader/business/other bays – 5 days’ notice</w:t>
      </w:r>
    </w:p>
    <w:p w:rsidR="00000000" w:rsidDel="00000000" w:rsidP="00000000" w:rsidRDefault="00000000" w:rsidRPr="00000000" w14:paraId="0000007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Pay-and-display and parking meter bays – 5 days’ notice</w:t>
      </w:r>
    </w:p>
    <w:p w:rsidR="00000000" w:rsidDel="00000000" w:rsidP="00000000" w:rsidRDefault="00000000" w:rsidRPr="00000000" w14:paraId="0000007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7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 Cancellations must be received in writing. </w:t>
      </w:r>
      <w:r w:rsidDel="00000000" w:rsidR="00000000" w:rsidRPr="00000000">
        <w:rPr>
          <w:rFonts w:ascii="Arial" w:cs="Arial" w:eastAsia="Arial" w:hAnsi="Arial"/>
          <w:b w:val="1"/>
          <w:sz w:val="20"/>
          <w:szCs w:val="20"/>
          <w:rtl w:val="0"/>
        </w:rPr>
        <w:t xml:space="preserve">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rsidR="00000000" w:rsidDel="00000000" w:rsidP="00000000" w:rsidRDefault="00000000" w:rsidRPr="00000000" w14:paraId="0000008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8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84">
      <w:pPr>
        <w:pageBreakBefore w:val="0"/>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8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a vehicle is parked in the area suspended for your use you may report this to the Parking Services suspension team on 020 7974 6231 quoting the suspension reference and/or specific location of the suspension. We will assist where possible.</w:t>
      </w:r>
    </w:p>
    <w:p w:rsidR="00000000" w:rsidDel="00000000" w:rsidP="00000000" w:rsidRDefault="00000000" w:rsidRPr="00000000" w14:paraId="0000008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do I apply?</w:t>
      </w:r>
    </w:p>
    <w:p w:rsidR="00000000" w:rsidDel="00000000" w:rsidP="00000000" w:rsidRDefault="00000000" w:rsidRPr="00000000" w14:paraId="00000088">
      <w:pPr>
        <w:pageBreakBefore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Complete the form overleaf and return to </w:t>
      </w:r>
      <w:hyperlink r:id="rId15">
        <w:r w:rsidDel="00000000" w:rsidR="00000000" w:rsidRPr="00000000">
          <w:rPr>
            <w:rFonts w:ascii="Arial" w:cs="Arial" w:eastAsia="Arial" w:hAnsi="Arial"/>
            <w:color w:val="0000ff"/>
            <w:sz w:val="20"/>
            <w:szCs w:val="20"/>
            <w:u w:val="single"/>
            <w:rtl w:val="0"/>
          </w:rPr>
          <w:t xml:space="preserve">info@camdenfilmoffice.co.uk</w:t>
        </w:r>
      </w:hyperlink>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00000"/>
          <w:sz w:val="20"/>
          <w:szCs w:val="20"/>
          <w:rtl w:val="0"/>
        </w:rPr>
        <w:t xml:space="preserve">or upload it to your filming application.</w:t>
      </w:r>
    </w:p>
    <w:p w:rsidR="00000000" w:rsidDel="00000000" w:rsidP="00000000" w:rsidRDefault="00000000" w:rsidRPr="00000000" w14:paraId="0000008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8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8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Payment for suspensions is due immediately from the issue date of your invoice and must be made by debit or credit card – cheques are not accepted. We do not accept American Express credit cards.</w:t>
      </w:r>
    </w:p>
    <w:p w:rsidR="00000000" w:rsidDel="00000000" w:rsidP="00000000" w:rsidRDefault="00000000" w:rsidRPr="00000000" w14:paraId="0000008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Film office will send you a payment link that will take you to the Camden online payment system. Once paid, you will be notified that your application has been successful.</w:t>
      </w:r>
    </w:p>
    <w:p w:rsidR="00000000" w:rsidDel="00000000" w:rsidP="00000000" w:rsidRDefault="00000000" w:rsidRPr="00000000" w14:paraId="0000008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9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protection </w:t>
      </w:r>
    </w:p>
    <w:p w:rsidR="00000000" w:rsidDel="00000000" w:rsidP="00000000" w:rsidRDefault="00000000" w:rsidRPr="00000000" w14:paraId="0000009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sectPr>
      <w:type w:val="continuous"/>
      <w:pgSz w:h="15840" w:w="12240" w:orient="portrait"/>
      <w:pgMar w:bottom="1138" w:top="1138" w:left="850" w:right="1138"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utive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widowControl w:val="1"/>
      <w:tabs>
        <w:tab w:val="center" w:pos="4961"/>
        <w:tab w:val="right" w:pos="9921"/>
      </w:tabs>
      <w:rPr>
        <w:color w:val="000000"/>
      </w:rPr>
    </w:pPr>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3057525</wp:posOffset>
          </wp:positionH>
          <wp:positionV relativeFrom="paragraph">
            <wp:posOffset>46990</wp:posOffset>
          </wp:positionV>
          <wp:extent cx="804545" cy="450850"/>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tabs>
        <w:tab w:val="center" w:pos="4961"/>
        <w:tab w:val="right" w:pos="9921"/>
      </w:tabs>
      <w:rPr>
        <w:color w:val="000000"/>
      </w:rPr>
    </w:pPr>
    <w:bookmarkStart w:colFirst="0" w:colLast="0" w:name="_heading=h.2et92p0" w:id="4"/>
    <w:bookmarkEnd w:id="4"/>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2879725</wp:posOffset>
          </wp:positionH>
          <wp:positionV relativeFrom="paragraph">
            <wp:posOffset>53975</wp:posOffset>
          </wp:positionV>
          <wp:extent cx="804545" cy="450850"/>
          <wp:effectExtent b="0" l="0" r="0" t="0"/>
          <wp:wrapSquare wrapText="bothSides" distB="0" distT="0" distL="114300" distR="114300"/>
          <wp:docPr id="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-372108</wp:posOffset>
          </wp:positionH>
          <wp:positionV relativeFrom="paragraph">
            <wp:posOffset>-1050288</wp:posOffset>
          </wp:positionV>
          <wp:extent cx="1066800" cy="1600200"/>
          <wp:effectExtent b="0" l="0" r="0" t="0"/>
          <wp:wrapSquare wrapText="bothSides" distB="0" distT="0" distL="114300" distR="11430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6800" cy="1600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5526405</wp:posOffset>
          </wp:positionH>
          <wp:positionV relativeFrom="paragraph">
            <wp:posOffset>-659128</wp:posOffset>
          </wp:positionV>
          <wp:extent cx="1514475" cy="295734"/>
          <wp:effectExtent b="0" l="0" r="0" t="0"/>
          <wp:wrapNone/>
          <wp:docPr descr="Image result for camden council png" id="23" name="image4.png"/>
          <a:graphic>
            <a:graphicData uri="http://schemas.openxmlformats.org/drawingml/2006/picture">
              <pic:pic>
                <pic:nvPicPr>
                  <pic:cNvPr descr="Image result for camden council png" id="0" name="image4.png"/>
                  <pic:cNvPicPr preferRelativeResize="0"/>
                </pic:nvPicPr>
                <pic:blipFill>
                  <a:blip r:embed="rId2"/>
                  <a:srcRect b="0" l="0" r="0" t="0"/>
                  <a:stretch>
                    <a:fillRect/>
                  </a:stretch>
                </pic:blipFill>
                <pic:spPr>
                  <a:xfrm>
                    <a:off x="0" y="0"/>
                    <a:ext cx="1514475" cy="29573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D6741D"/>
    <w:rPr>
      <w:color w:val="0563c1" w:themeColor="hyperlink"/>
      <w:u w:val="single"/>
    </w:rPr>
  </w:style>
  <w:style w:type="character" w:styleId="UnresolvedMention">
    <w:name w:val="Unresolved Mention"/>
    <w:basedOn w:val="DefaultParagraphFont"/>
    <w:uiPriority w:val="99"/>
    <w:semiHidden w:val="1"/>
    <w:unhideWhenUsed w:val="1"/>
    <w:rsid w:val="00D6741D"/>
    <w:rPr>
      <w:color w:val="605e5c"/>
      <w:shd w:color="auto" w:fill="e1dfdd" w:val="clear"/>
    </w:rPr>
  </w:style>
  <w:style w:type="paragraph" w:styleId="Header">
    <w:name w:val="header"/>
    <w:basedOn w:val="Normal"/>
    <w:link w:val="HeaderChar"/>
    <w:uiPriority w:val="99"/>
    <w:unhideWhenUsed w:val="1"/>
    <w:rsid w:val="00D6741D"/>
    <w:pPr>
      <w:tabs>
        <w:tab w:val="center" w:pos="4513"/>
        <w:tab w:val="right" w:pos="9026"/>
      </w:tabs>
    </w:pPr>
  </w:style>
  <w:style w:type="character" w:styleId="HeaderChar" w:customStyle="1">
    <w:name w:val="Header Char"/>
    <w:basedOn w:val="DefaultParagraphFont"/>
    <w:link w:val="Header"/>
    <w:uiPriority w:val="99"/>
    <w:rsid w:val="00D6741D"/>
  </w:style>
  <w:style w:type="paragraph" w:styleId="Footer">
    <w:name w:val="footer"/>
    <w:basedOn w:val="Normal"/>
    <w:link w:val="FooterChar"/>
    <w:uiPriority w:val="99"/>
    <w:unhideWhenUsed w:val="1"/>
    <w:rsid w:val="00D6741D"/>
    <w:pPr>
      <w:tabs>
        <w:tab w:val="center" w:pos="4513"/>
        <w:tab w:val="right" w:pos="9026"/>
      </w:tabs>
    </w:pPr>
  </w:style>
  <w:style w:type="character" w:styleId="FooterChar" w:customStyle="1">
    <w:name w:val="Footer Char"/>
    <w:basedOn w:val="DefaultParagraphFont"/>
    <w:link w:val="Footer"/>
    <w:uiPriority w:val="99"/>
    <w:rsid w:val="00D6741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hyperlink" Target="mailto:info@camdenfilmoffice.co.uk"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mailto:info@camdenfilmoffice.co.uk"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Pi5YwV3VylsNPL19ECQn1klyg==">AMUW2mUbtvNFFvSVZmBitSMbegptcljIHRNMoXYjJNy6yfbdhqI2ogPihKzfkrZEuUn50CBLVj/YGHdClGdFmamHzV4xebvK0EYkunlu4vxsMebZNNeh3RPwPzNyhgjfZHz85TcqY0Hq+1GPQBigitJBj8RW5AzU1wst2H9JZPIkVlFUXKJYrOELeAMrzVovTyHDbtcxIJez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2021-01-19T11:21:00Z</dcterms:created>
  <dc:creator>Rhian Sharpe</dc:creator>
</cp:coreProperties>
</file>